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70" w:before="290"/>
      </w:pPr>
      <w:r>
        <w:t xml:space="preserve">OPEX and CAPEX Cost Split | v2</w:t>
      </w:r>
    </w:p>
    <w:p>
      <w:pPr>
        <w:spacing w:after="180"/>
      </w:pPr>
      <w:r>
        <w:t xml:space="preserve">Capital and Operating Expenditure Planner</w:t>
      </w:r>
    </w:p>
    <w:p>
      <w:pPr>
        <w:spacing w:after="130"/>
      </w:pPr>
      <w:r>
        <w:t xml:space="preserve">Classify project costs into capital and operating expenditure</w:t>
      </w:r>
    </w:p>
    <w:p>
      <w:pPr>
        <w:pStyle w:val="Heading2"/>
        <w:keepNext/>
        <w:spacing w:after="170" w:before="270"/>
      </w:pPr>
      <w:r>
        <w:t xml:space="preserve">1. Project Overview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453"/>
        <w:gridCol w:w="9285"/>
      </w:tblGrid>
      <w:tr>
        <w:trPr>
          <w:cantSplit/>
          <w:trHeight w:val="540" w:hRule="atLeast"/>
        </w:trPr>
        <w:tc>
          <w:tcPr>
            <w:tcW w:type="dxa" w:w="5453"/>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bCs/>
                <w:color w:val="28558A"/>
                <w:sz w:val="20"/>
                <w:szCs w:val="20"/>
              </w:rPr>
              <w:t xml:space="preserve">Project</w:t>
            </w:r>
          </w:p>
        </w:tc>
        <w:tc>
          <w:tcPr>
            <w:tcW w:type="dxa" w:w="9285"/>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val="false"/>
                <w:bCs w:val="false"/>
                <w:color w:val="263549"/>
                <w:sz w:val="20"/>
                <w:szCs w:val="20"/>
              </w:rPr>
              <w:t xml:space="preserve"> </w:t>
            </w:r>
          </w:p>
        </w:tc>
      </w:tr>
      <w:tr>
        <w:trPr>
          <w:cantSplit/>
          <w:trHeight w:val="540" w:hRule="atLeast"/>
        </w:trPr>
        <w:tc>
          <w:tcPr>
            <w:tcW w:type="dxa" w:w="5453"/>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bCs/>
                <w:color w:val="28558A"/>
                <w:sz w:val="20"/>
                <w:szCs w:val="20"/>
              </w:rPr>
              <w:t xml:space="preserve">Project Manager</w:t>
            </w:r>
          </w:p>
        </w:tc>
        <w:tc>
          <w:tcPr>
            <w:tcW w:type="dxa" w:w="9285"/>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val="false"/>
                <w:bCs w:val="false"/>
                <w:color w:val="263549"/>
                <w:sz w:val="20"/>
                <w:szCs w:val="20"/>
              </w:rPr>
              <w:t xml:space="preserve"> </w:t>
            </w:r>
          </w:p>
        </w:tc>
      </w:tr>
      <w:tr>
        <w:trPr>
          <w:cantSplit/>
          <w:trHeight w:val="540" w:hRule="atLeast"/>
        </w:trPr>
        <w:tc>
          <w:tcPr>
            <w:tcW w:type="dxa" w:w="5453"/>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bCs/>
                <w:color w:val="28558A"/>
                <w:sz w:val="20"/>
                <w:szCs w:val="20"/>
              </w:rPr>
              <w:t xml:space="preserve">Date</w:t>
            </w:r>
          </w:p>
        </w:tc>
        <w:tc>
          <w:tcPr>
            <w:tcW w:type="dxa" w:w="9285"/>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val="false"/>
                <w:bCs w:val="false"/>
                <w:color w:val="263549"/>
                <w:sz w:val="20"/>
                <w:szCs w:val="20"/>
              </w:rPr>
              <w:t xml:space="preserve"> </w:t>
            </w:r>
          </w:p>
        </w:tc>
      </w:tr>
      <w:tr>
        <w:trPr>
          <w:cantSplit/>
          <w:trHeight w:val="540" w:hRule="atLeast"/>
        </w:trPr>
        <w:tc>
          <w:tcPr>
            <w:tcW w:type="dxa" w:w="5453"/>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bCs/>
                <w:color w:val="28558A"/>
                <w:sz w:val="20"/>
                <w:szCs w:val="20"/>
              </w:rPr>
              <w:t xml:space="preserve">Monetary unit (currency and scale)</w:t>
            </w:r>
          </w:p>
        </w:tc>
        <w:tc>
          <w:tcPr>
            <w:tcW w:type="dxa" w:w="9285"/>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val="false"/>
                <w:bCs w:val="false"/>
                <w:color w:val="263549"/>
                <w:sz w:val="20"/>
                <w:szCs w:val="20"/>
              </w:rPr>
              <w:t xml:space="preserve"> </w:t>
            </w:r>
          </w:p>
        </w:tc>
      </w:tr>
    </w:tbl>
    <w:p>
      <w:pPr>
        <w:pStyle w:val="Heading2"/>
        <w:keepNext/>
        <w:spacing w:after="170" w:before="270"/>
      </w:pPr>
      <w:r>
        <w:t xml:space="preserve">2. How to Use</w:t>
      </w:r>
    </w:p>
    <w:p>
      <w:pPr>
        <w:spacing w:after="130"/>
      </w:pPr>
      <w:r>
        <w:t xml:space="preserve">Select cost class and capital share on each row. Confirm accounting treatment with Finance. Enter all monetary amounts in the unit specified in the project overview (e.g. USD, EUR, RUB or thousands of RUB); percentages are unitless.</w:t>
      </w:r>
    </w:p>
    <w:p>
      <w:pPr>
        <w:pStyle w:val="Heading2"/>
        <w:keepNext/>
        <w:pageBreakBefore/>
        <w:spacing w:after="170" w:before="270"/>
      </w:pPr>
      <w:r>
        <w:t xml:space="preserve">3. Cost Allocation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40"/>
        <w:gridCol w:w="1680"/>
        <w:gridCol w:w="1985"/>
        <w:gridCol w:w="1375"/>
        <w:gridCol w:w="1375"/>
        <w:gridCol w:w="1527"/>
        <w:gridCol w:w="1604"/>
        <w:gridCol w:w="1604"/>
        <w:gridCol w:w="1222"/>
        <w:gridCol w:w="1527"/>
      </w:tblGrid>
      <w:tr>
        <w:trPr>
          <w:cantSplit/>
          <w:tblHeader/>
          <w:trHeight w:val="600" w:hRule="atLeast"/>
        </w:trPr>
        <w:tc>
          <w:tcPr>
            <w:tcW w:type="dxa" w:w="840"/>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ID</w:t>
            </w:r>
          </w:p>
        </w:tc>
        <w:tc>
          <w:tcPr>
            <w:tcW w:type="dxa" w:w="1680"/>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Initiative</w:t>
            </w:r>
          </w:p>
        </w:tc>
        <w:tc>
          <w:tcPr>
            <w:tcW w:type="dxa" w:w="1985"/>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Cost Item</w:t>
            </w:r>
          </w:p>
        </w:tc>
        <w:tc>
          <w:tcPr>
            <w:tcW w:type="dxa" w:w="1375"/>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Cost Class</w:t>
            </w:r>
          </w:p>
        </w:tc>
        <w:tc>
          <w:tcPr>
            <w:tcW w:type="dxa" w:w="1375"/>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Amount</w:t>
            </w:r>
          </w:p>
        </w:tc>
        <w:tc>
          <w:tcPr>
            <w:tcW w:type="dxa" w:w="1527"/>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Capital Share</w:t>
            </w:r>
          </w:p>
        </w:tc>
        <w:tc>
          <w:tcPr>
            <w:tcW w:type="dxa" w:w="1604"/>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Capital Expenditure</w:t>
            </w:r>
          </w:p>
        </w:tc>
        <w:tc>
          <w:tcPr>
            <w:tcW w:type="dxa" w:w="1604"/>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Operating Expenditure</w:t>
            </w:r>
          </w:p>
        </w:tc>
        <w:tc>
          <w:tcPr>
            <w:tcW w:type="dxa" w:w="1222"/>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Period</w:t>
            </w:r>
          </w:p>
        </w:tc>
        <w:tc>
          <w:tcPr>
            <w:tcW w:type="dxa" w:w="1527"/>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Status</w:t>
            </w:r>
          </w:p>
        </w:tc>
      </w:tr>
      <w:tr>
        <w:trPr>
          <w:cantSplit/>
          <w:trHeight w:val="72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 </w:t>
            </w:r>
          </w:p>
        </w:tc>
      </w:tr>
      <w:tr>
        <w:trPr>
          <w:cantSplit/>
          <w:trHeight w:val="72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r>
      <w:tr>
        <w:trPr>
          <w:cantSplit/>
          <w:trHeight w:val="72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r>
      <w:tr>
        <w:trPr>
          <w:cantSplit/>
          <w:trHeight w:val="72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r>
      <w:tr>
        <w:trPr>
          <w:cantSplit/>
          <w:trHeight w:val="72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r>
      <w:tr>
        <w:trPr>
          <w:cantSplit/>
          <w:trHeight w:val="72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r>
      <w:tr>
        <w:trPr>
          <w:cantSplit/>
          <w:trHeight w:val="72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r>
    </w:tbl>
    <w:sectPr>
      <w:headerReference w:type="default" r:id="rId6"/>
      <w:footerReference w:type="default" r:id="rId7"/>
      <w:pgSz w:w="16838" w:h="11906" w:orient="portrait"/>
      <w:pgMar w:top="1170" w:right="1050" w:bottom="1080" w:left="10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D9E7" w:sz="4"/>
      </w:pBdr>
      <w:spacing w:before="90"/>
      <w:jc w:val="center"/>
    </w:pPr>
    <w:r>
      <w:rPr>
        <w:color w:val="6D7B8A"/>
        <w:sz w:val="17"/>
        <w:szCs w:val="17"/>
      </w:rPr>
      <w:t xml:space="preserve">PMHub.me   |   </w:t>
    </w:r>
    <w:r>
      <w:rPr>
        <w:color w:val="6D7B8A"/>
        <w:sz w:val="17"/>
        <w:szCs w:val="17"/>
      </w:rPr>
      <w:fldChar w:fldCharType="begin"/>
    </w:r>
    <w:r>
      <w:rPr>
        <w:color w:val="6D7B8A"/>
        <w:sz w:val="17"/>
        <w:szCs w:val="17"/>
      </w:rPr>
      <w:instrText xml:space="preserve">PAGE</w:instrText>
    </w:r>
    <w:r>
      <w:rPr>
        <w:color w:val="6D7B8A"/>
        <w:sz w:val="17"/>
        <w:szCs w:val="17"/>
      </w:rPr>
      <w:fldChar w:fldCharType="separate"/>
    </w:r>
    <w:r>
      <w:rPr>
        <w:color w:val="6D7B8A"/>
        <w:sz w:val="17"/>
        <w:szCs w:val="17"/>
      </w:rPr>
      <w:fldChar w:fldCharType="end"/>
    </w:r>
    <w:r>
      <w:rPr>
        <w:color w:val="6D7B8A"/>
        <w:sz w:val="17"/>
        <w:szCs w:val="17"/>
      </w:rPr>
      <w:t xml:space="preserve"> / </w:t>
    </w:r>
    <w:r>
      <w:rPr>
        <w:color w:val="6D7B8A"/>
        <w:sz w:val="17"/>
        <w:szCs w:val="17"/>
      </w:rPr>
      <w:fldChar w:fldCharType="begin"/>
    </w:r>
    <w:r>
      <w:rPr>
        <w:color w:val="6D7B8A"/>
        <w:sz w:val="17"/>
        <w:szCs w:val="17"/>
      </w:rPr>
      <w:instrText xml:space="preserve">NUMPAGES</w:instrText>
    </w:r>
    <w:r>
      <w:rPr>
        <w:color w:val="6D7B8A"/>
        <w:sz w:val="17"/>
        <w:szCs w:val="17"/>
      </w:rPr>
      <w:fldChar w:fldCharType="separate"/>
    </w:r>
    <w:r>
      <w:rPr>
        <w:color w:val="6D7B8A"/>
        <w:sz w:val="17"/>
        <w:szCs w:val="17"/>
      </w:rPr>
      <w:fldChar w:fldCharType="end"/>
    </w:r>
    <w:r>
      <w:rPr>
        <w:color w:val="6D7B8A"/>
        <w:sz w:val="17"/>
        <w:szCs w:val="17"/>
      </w:rPr>
      <w:t xml:space="preserve">   |   v2 | OPEX and CAPEX Cost Split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D9E7" w:sz="4"/>
      </w:pBdr>
      <w:spacing w:after="100"/>
    </w:pPr>
    <w:r>
      <w:rPr>
        <w:b/>
        <w:bCs/>
        <w:color w:val="168AA1"/>
        <w:sz w:val="17"/>
        <w:szCs w:val="17"/>
      </w:rPr>
      <w:t xml:space="preserve">PMHub.me   /   PROJECT MANAGEMENT   |   v2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3549"/>
        <w:sz w:val="22"/>
        <w:szCs w:val="22"/>
      </w:rPr>
    </w:rPrDefault>
    <w:pPrDefault>
      <w:pPr>
        <w:spacing w:line="31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rPr>
      <w:rFonts w:ascii="Arial" w:cs="Arial" w:eastAsia="Arial" w:hAnsi="Arial"/>
      <w:b/>
      <w:bCs/>
      <w:color w:val="17365D"/>
      <w:sz w:val="38"/>
      <w:szCs w:val="38"/>
    </w:rPr>
  </w:style>
  <w:style w:type="paragraph" w:styleId="Heading2">
    <w:name w:val="Heading 2"/>
    <w:basedOn w:val="Normal"/>
    <w:next w:val="Normal"/>
    <w:qFormat/>
    <w:rPr>
      <w:rFonts w:ascii="Arial" w:cs="Arial" w:eastAsia="Arial" w:hAnsi="Arial"/>
      <w:b/>
      <w:bCs/>
      <w:color w:val="28558A"/>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OPEX and CAPEX Cost Split | v2</dc:title>
  <dc:subject>Capital and Operating Expenditure Planner</dc:subject>
  <dc:creator>PMHub</dc:creator>
  <cp:keywords>PMHub.me, OPEX and CAPEX Cost Split, project finance, opex capex split, project management template</cp:keywords>
  <dc:description>Classify project costs into capital and operating expenditure</dc:description>
  <cp:lastModifiedBy>PMHub Document Engine</cp:lastModifiedBy>
  <cp:revision>1</cp:revision>
  <dcterms:created xsi:type="dcterms:W3CDTF">2026-10-30T03:02:58.690Z</dcterms:created>
  <dcterms:modified xsi:type="dcterms:W3CDTF">2026-10-30T03:02:58.690Z</dcterms:modified>
</cp:coreProperties>
</file>

<file path=docProps/custom.xml><?xml version="1.0" encoding="utf-8"?>
<Properties xmlns="http://schemas.openxmlformats.org/officeDocument/2006/custom-properties" xmlns:vt="http://schemas.openxmlformats.org/officeDocument/2006/docPropsVTypes"/>
</file>